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45FBD">
      <w:pPr>
        <w:spacing w:after="0" w:line="360" w:lineRule="auto"/>
        <w:jc w:val="center"/>
        <w:rPr>
          <w:rFonts w:hint="default" w:ascii="Times New Roman" w:hAnsi="Times New Roman" w:cs="Times New Roman"/>
          <w:sz w:val="24"/>
          <w:szCs w:val="24"/>
          <w:lang w:val="en-US" w:eastAsia="ru-RU"/>
        </w:rPr>
      </w:pPr>
      <w:bookmarkStart w:id="1" w:name="_GoBack"/>
      <w:r>
        <w:rPr>
          <w:rFonts w:ascii="Times New Roman" w:hAnsi="Times New Roman" w:cs="Times New Roman"/>
          <w:sz w:val="24"/>
          <w:szCs w:val="24"/>
          <w:lang w:eastAsia="ru-RU"/>
        </w:rPr>
        <w:t>ОПИСАНИЕ</w:t>
      </w:r>
      <w:r>
        <w:rPr>
          <w:rFonts w:hint="default" w:ascii="Times New Roman" w:hAnsi="Times New Roman" w:cs="Times New Roman"/>
          <w:sz w:val="24"/>
          <w:szCs w:val="24"/>
          <w:lang w:val="en-US" w:eastAsia="ru-RU"/>
        </w:rPr>
        <w:t xml:space="preserve"> ПРОГРАММЫ.</w:t>
      </w:r>
    </w:p>
    <w:bookmarkEnd w:id="1"/>
    <w:p w14:paraId="698838F4">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Дополнительная общеразвивающая программа «В двух шагах от ринга» (далее – Программа) разработана на основе:</w:t>
      </w:r>
    </w:p>
    <w:p w14:paraId="12C7F31F">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-Федерального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закона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от</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29</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декабря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2012</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года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273-ФЗ</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образовании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Российской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Федерации»;</w:t>
      </w:r>
    </w:p>
    <w:p w14:paraId="6CAC52C1">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-Концепции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развития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дополнительного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детей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2030</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года,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утверждена</w:t>
      </w:r>
      <w:r>
        <w:rPr>
          <w:rFonts w:ascii="Times New Roman" w:hAnsi="Times New Roman" w:cs="Times New Roman"/>
          <w:spacing w:val="1"/>
          <w:w w:val="105"/>
          <w:sz w:val="24"/>
          <w:szCs w:val="24"/>
        </w:rPr>
        <w:t xml:space="preserve"> </w:t>
      </w:r>
      <w:r>
        <w:rPr>
          <w:rFonts w:ascii="Times New Roman" w:hAnsi="Times New Roman" w:cs="Times New Roman"/>
          <w:sz w:val="24"/>
          <w:szCs w:val="24"/>
        </w:rPr>
        <w:t>распоряжением</w:t>
      </w:r>
      <w:r>
        <w:rPr>
          <w:rFonts w:ascii="Times New Roman" w:hAnsi="Times New Roman" w:cs="Times New Roman"/>
          <w:spacing w:val="15"/>
          <w:sz w:val="24"/>
          <w:szCs w:val="24"/>
        </w:rPr>
        <w:t xml:space="preserve"> </w:t>
      </w:r>
      <w:r>
        <w:rPr>
          <w:rFonts w:ascii="Times New Roman" w:hAnsi="Times New Roman" w:cs="Times New Roman"/>
          <w:sz w:val="24"/>
          <w:szCs w:val="24"/>
        </w:rPr>
        <w:t>Правительства</w:t>
      </w:r>
      <w:r>
        <w:rPr>
          <w:rFonts w:ascii="Times New Roman" w:hAnsi="Times New Roman" w:cs="Times New Roman"/>
          <w:spacing w:val="9"/>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8"/>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0"/>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31</w:t>
      </w:r>
      <w:r>
        <w:rPr>
          <w:rFonts w:ascii="Times New Roman" w:hAnsi="Times New Roman" w:cs="Times New Roman"/>
          <w:spacing w:val="11"/>
          <w:sz w:val="24"/>
          <w:szCs w:val="24"/>
        </w:rPr>
        <w:t xml:space="preserve"> </w:t>
      </w:r>
      <w:r>
        <w:rPr>
          <w:rFonts w:ascii="Times New Roman" w:hAnsi="Times New Roman" w:cs="Times New Roman"/>
          <w:sz w:val="24"/>
          <w:szCs w:val="24"/>
        </w:rPr>
        <w:t>марта</w:t>
      </w:r>
      <w:r>
        <w:rPr>
          <w:rFonts w:ascii="Times New Roman" w:hAnsi="Times New Roman" w:cs="Times New Roman"/>
          <w:spacing w:val="10"/>
          <w:sz w:val="24"/>
          <w:szCs w:val="24"/>
        </w:rPr>
        <w:t xml:space="preserve"> </w:t>
      </w:r>
      <w:r>
        <w:rPr>
          <w:rFonts w:ascii="Times New Roman" w:hAnsi="Times New Roman" w:cs="Times New Roman"/>
          <w:sz w:val="24"/>
          <w:szCs w:val="24"/>
        </w:rPr>
        <w:t>2022</w:t>
      </w:r>
      <w:r>
        <w:rPr>
          <w:rFonts w:ascii="Times New Roman" w:hAnsi="Times New Roman" w:cs="Times New Roman"/>
          <w:spacing w:val="11"/>
          <w:sz w:val="24"/>
          <w:szCs w:val="24"/>
        </w:rPr>
        <w:t xml:space="preserve"> </w:t>
      </w:r>
      <w:r>
        <w:rPr>
          <w:rFonts w:ascii="Times New Roman" w:hAnsi="Times New Roman" w:cs="Times New Roman"/>
          <w:sz w:val="24"/>
          <w:szCs w:val="24"/>
        </w:rPr>
        <w:t>г.</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678</w:t>
      </w:r>
      <w:r>
        <w:rPr>
          <w:rFonts w:ascii="Times New Roman" w:hAnsi="Times New Roman" w:cs="Times New Roman"/>
          <w:spacing w:val="-31"/>
          <w:sz w:val="24"/>
          <w:szCs w:val="24"/>
        </w:rPr>
        <w:t xml:space="preserve"> </w:t>
      </w:r>
      <w:r>
        <w:rPr>
          <w:rFonts w:ascii="Times New Roman" w:hAnsi="Times New Roman" w:cs="Times New Roman"/>
          <w:sz w:val="24"/>
          <w:szCs w:val="24"/>
        </w:rPr>
        <w:t>-р;</w:t>
      </w:r>
    </w:p>
    <w:p w14:paraId="1311D725">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-Стратегии развития воспитания в Российской Федерации на период до 2025 года, утверждена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распоряжением</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Правительства</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Российской</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Федерации</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от</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29</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мая</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2015</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г.</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996-р;</w:t>
      </w:r>
    </w:p>
    <w:p w14:paraId="1599FC55">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-Приказа Министерства просвещения РФ от 27 июля 2022 года № 629 «Об утверждении порядка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организации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осуществления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образовательной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деятельности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дополнительным</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общеобразовательным</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программам»;</w:t>
      </w:r>
    </w:p>
    <w:p w14:paraId="02F58FF2">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-Письма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Комитета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общего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профессионального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Ленинградской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области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от</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27.03.2015 года №19-1969/15-0-0 «О методических рекомендациях по разработке и оформлению</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дополнительных</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общеразвивающих</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программ</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физкультурно-спортивной</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направленности»;</w:t>
      </w:r>
    </w:p>
    <w:p w14:paraId="0D7E129E">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-Постановления Главного государственного санитарного врача РФ от 28 сентября 2020 г. № 28</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утверждении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санитарных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правил</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СанПиН</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2.4.3648-20</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"Санитарно-эпидемиологические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требования</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к</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организациям</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воспитания</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и обучения,</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отдыха</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и оздоровления</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детей</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и молодежи";</w:t>
      </w:r>
    </w:p>
    <w:p w14:paraId="1869126C">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-Постановления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Главного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государственного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санитарного</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врача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Российской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Федерации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от</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30.06.2020</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№16</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утверждении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санитарно-эпидемиологических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правил</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СанПиН</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3.1/2.4</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3598-20</w:t>
      </w:r>
      <w:r>
        <w:rPr>
          <w:rFonts w:ascii="Times New Roman" w:hAnsi="Times New Roman" w:cs="Times New Roman"/>
          <w:spacing w:val="-58"/>
          <w:w w:val="105"/>
          <w:sz w:val="24"/>
          <w:szCs w:val="24"/>
        </w:rPr>
        <w:t xml:space="preserve"> </w:t>
      </w:r>
      <w:r>
        <w:rPr>
          <w:rFonts w:ascii="Times New Roman" w:hAnsi="Times New Roman" w:cs="Times New Roman"/>
          <w:w w:val="105"/>
          <w:sz w:val="24"/>
          <w:szCs w:val="24"/>
        </w:rPr>
        <w:t>"Санитарно-эпидемиологические требования к устройству, содержанию и организации работы</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образовательных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организаций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других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объектов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социальной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инфраструктуры</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для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детей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sz w:val="24"/>
          <w:szCs w:val="24"/>
        </w:rPr>
        <w:t>молодежи</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21"/>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14"/>
          <w:sz w:val="24"/>
          <w:szCs w:val="24"/>
        </w:rPr>
        <w:t xml:space="preserve"> </w:t>
      </w:r>
      <w:r>
        <w:rPr>
          <w:rFonts w:ascii="Times New Roman" w:hAnsi="Times New Roman" w:cs="Times New Roman"/>
          <w:sz w:val="24"/>
          <w:szCs w:val="24"/>
        </w:rPr>
        <w:t>распространения</w:t>
      </w:r>
      <w:r>
        <w:rPr>
          <w:rFonts w:ascii="Times New Roman" w:hAnsi="Times New Roman" w:cs="Times New Roman"/>
          <w:spacing w:val="8"/>
          <w:sz w:val="24"/>
          <w:szCs w:val="24"/>
        </w:rPr>
        <w:t xml:space="preserve"> </w:t>
      </w:r>
      <w:r>
        <w:rPr>
          <w:rFonts w:ascii="Times New Roman" w:hAnsi="Times New Roman" w:cs="Times New Roman"/>
          <w:sz w:val="24"/>
          <w:szCs w:val="24"/>
        </w:rPr>
        <w:t>новой</w:t>
      </w:r>
      <w:r>
        <w:rPr>
          <w:rFonts w:ascii="Times New Roman" w:hAnsi="Times New Roman" w:cs="Times New Roman"/>
          <w:spacing w:val="13"/>
          <w:sz w:val="24"/>
          <w:szCs w:val="24"/>
        </w:rPr>
        <w:t xml:space="preserve"> </w:t>
      </w:r>
      <w:r>
        <w:rPr>
          <w:rFonts w:ascii="Times New Roman" w:hAnsi="Times New Roman" w:cs="Times New Roman"/>
          <w:sz w:val="24"/>
          <w:szCs w:val="24"/>
        </w:rPr>
        <w:t>коронавирусной</w:t>
      </w:r>
      <w:r>
        <w:rPr>
          <w:rFonts w:ascii="Times New Roman" w:hAnsi="Times New Roman" w:cs="Times New Roman"/>
          <w:spacing w:val="13"/>
          <w:sz w:val="24"/>
          <w:szCs w:val="24"/>
        </w:rPr>
        <w:t xml:space="preserve"> </w:t>
      </w:r>
      <w:r>
        <w:rPr>
          <w:rFonts w:ascii="Times New Roman" w:hAnsi="Times New Roman" w:cs="Times New Roman"/>
          <w:sz w:val="24"/>
          <w:szCs w:val="24"/>
        </w:rPr>
        <w:t>инфекции</w:t>
      </w:r>
      <w:r>
        <w:rPr>
          <w:rFonts w:ascii="Times New Roman" w:hAnsi="Times New Roman" w:cs="Times New Roman"/>
          <w:spacing w:val="13"/>
          <w:sz w:val="24"/>
          <w:szCs w:val="24"/>
        </w:rPr>
        <w:t xml:space="preserve"> </w:t>
      </w:r>
      <w:r>
        <w:rPr>
          <w:rFonts w:ascii="Times New Roman" w:hAnsi="Times New Roman" w:cs="Times New Roman"/>
          <w:sz w:val="24"/>
          <w:szCs w:val="24"/>
        </w:rPr>
        <w:t>(COVID</w:t>
      </w:r>
      <w:r>
        <w:rPr>
          <w:rFonts w:ascii="Times New Roman" w:hAnsi="Times New Roman" w:cs="Times New Roman"/>
          <w:spacing w:val="-31"/>
          <w:sz w:val="24"/>
          <w:szCs w:val="24"/>
        </w:rPr>
        <w:t xml:space="preserve"> </w:t>
      </w:r>
      <w:r>
        <w:rPr>
          <w:rFonts w:ascii="Times New Roman" w:hAnsi="Times New Roman" w:cs="Times New Roman"/>
          <w:sz w:val="24"/>
          <w:szCs w:val="24"/>
        </w:rPr>
        <w:t>-19)";</w:t>
      </w:r>
    </w:p>
    <w:p w14:paraId="3F19D1E2">
      <w:pPr>
        <w:widowControl w:val="0"/>
        <w:autoSpaceDE w:val="0"/>
        <w:autoSpaceDN w:val="0"/>
        <w:spacing w:after="0" w:line="360" w:lineRule="auto"/>
        <w:jc w:val="both"/>
        <w:rPr>
          <w:rFonts w:ascii="Times New Roman" w:hAnsi="Times New Roman" w:cs="Times New Roman"/>
          <w:sz w:val="24"/>
          <w:szCs w:val="24"/>
        </w:rPr>
      </w:pPr>
      <w:bookmarkStart w:id="0" w:name="BM_Устава_и_Локальных_нормативных_актов_"/>
      <w:bookmarkEnd w:id="0"/>
      <w:r>
        <w:rPr>
          <w:rFonts w:ascii="Times New Roman" w:hAnsi="Times New Roman" w:cs="Times New Roman"/>
          <w:sz w:val="24"/>
          <w:szCs w:val="24"/>
        </w:rPr>
        <w:t>-Устава</w:t>
      </w:r>
      <w:r>
        <w:rPr>
          <w:rFonts w:ascii="Times New Roman" w:hAnsi="Times New Roman" w:cs="Times New Roman"/>
          <w:spacing w:val="41"/>
          <w:sz w:val="24"/>
          <w:szCs w:val="24"/>
        </w:rPr>
        <w:t xml:space="preserve"> </w:t>
      </w:r>
      <w:r>
        <w:rPr>
          <w:rFonts w:ascii="Times New Roman" w:hAnsi="Times New Roman" w:cs="Times New Roman"/>
          <w:sz w:val="24"/>
          <w:szCs w:val="24"/>
        </w:rPr>
        <w:t>и</w:t>
      </w:r>
      <w:r>
        <w:rPr>
          <w:rFonts w:ascii="Times New Roman" w:hAnsi="Times New Roman" w:cs="Times New Roman"/>
          <w:spacing w:val="42"/>
          <w:sz w:val="24"/>
          <w:szCs w:val="24"/>
        </w:rPr>
        <w:t xml:space="preserve"> </w:t>
      </w:r>
      <w:r>
        <w:rPr>
          <w:rFonts w:ascii="Times New Roman" w:hAnsi="Times New Roman" w:cs="Times New Roman"/>
          <w:sz w:val="24"/>
          <w:szCs w:val="24"/>
        </w:rPr>
        <w:t>Локальных</w:t>
      </w:r>
      <w:r>
        <w:rPr>
          <w:rFonts w:ascii="Times New Roman" w:hAnsi="Times New Roman" w:cs="Times New Roman"/>
          <w:spacing w:val="32"/>
          <w:sz w:val="24"/>
          <w:szCs w:val="24"/>
        </w:rPr>
        <w:t xml:space="preserve"> </w:t>
      </w:r>
      <w:r>
        <w:rPr>
          <w:rFonts w:ascii="Times New Roman" w:hAnsi="Times New Roman" w:cs="Times New Roman"/>
          <w:sz w:val="24"/>
          <w:szCs w:val="24"/>
        </w:rPr>
        <w:t>нормативных</w:t>
      </w:r>
      <w:r>
        <w:rPr>
          <w:rFonts w:ascii="Times New Roman" w:hAnsi="Times New Roman" w:cs="Times New Roman"/>
          <w:spacing w:val="44"/>
          <w:sz w:val="24"/>
          <w:szCs w:val="24"/>
        </w:rPr>
        <w:t xml:space="preserve"> </w:t>
      </w:r>
      <w:r>
        <w:rPr>
          <w:rFonts w:ascii="Times New Roman" w:hAnsi="Times New Roman" w:cs="Times New Roman"/>
          <w:sz w:val="24"/>
          <w:szCs w:val="24"/>
        </w:rPr>
        <w:t>актов,</w:t>
      </w:r>
      <w:r>
        <w:rPr>
          <w:rFonts w:ascii="Times New Roman" w:hAnsi="Times New Roman" w:cs="Times New Roman"/>
          <w:spacing w:val="35"/>
          <w:sz w:val="24"/>
          <w:szCs w:val="24"/>
        </w:rPr>
        <w:t xml:space="preserve"> </w:t>
      </w:r>
      <w:r>
        <w:rPr>
          <w:rFonts w:ascii="Times New Roman" w:hAnsi="Times New Roman" w:cs="Times New Roman"/>
          <w:sz w:val="24"/>
          <w:szCs w:val="24"/>
        </w:rPr>
        <w:t>Приказов</w:t>
      </w:r>
      <w:r>
        <w:rPr>
          <w:rFonts w:ascii="Times New Roman" w:hAnsi="Times New Roman" w:cs="Times New Roman"/>
          <w:spacing w:val="42"/>
          <w:sz w:val="24"/>
          <w:szCs w:val="24"/>
        </w:rPr>
        <w:t xml:space="preserve"> </w:t>
      </w:r>
      <w:r>
        <w:rPr>
          <w:rFonts w:ascii="Times New Roman" w:hAnsi="Times New Roman" w:cs="Times New Roman"/>
          <w:sz w:val="24"/>
          <w:szCs w:val="24"/>
        </w:rPr>
        <w:t>«Коммунарской</w:t>
      </w:r>
      <w:r>
        <w:rPr>
          <w:rFonts w:ascii="Times New Roman" w:hAnsi="Times New Roman" w:cs="Times New Roman"/>
          <w:spacing w:val="42"/>
          <w:sz w:val="24"/>
          <w:szCs w:val="24"/>
        </w:rPr>
        <w:t xml:space="preserve"> </w:t>
      </w:r>
      <w:r>
        <w:rPr>
          <w:rFonts w:ascii="Times New Roman" w:hAnsi="Times New Roman" w:cs="Times New Roman"/>
          <w:sz w:val="24"/>
          <w:szCs w:val="24"/>
        </w:rPr>
        <w:t>СШ».</w:t>
      </w:r>
    </w:p>
    <w:p w14:paraId="49694ACA">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Дополнительная общеразвивающая программа «В двух шагах от ринга» (направление по виду спорта «Бокс») имеет физкультурно-спортивную направленность, предназначена для спортивно-оздоровительных групп. Уровень сложности программы – стартовый.</w:t>
      </w:r>
    </w:p>
    <w:p w14:paraId="11616DA5">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Бокс</w:t>
      </w:r>
      <w:r>
        <w:rPr>
          <w:rFonts w:ascii="Times New Roman" w:hAnsi="Times New Roman" w:cs="Times New Roman"/>
          <w:sz w:val="24"/>
          <w:szCs w:val="24"/>
          <w:lang w:eastAsia="ru-RU"/>
        </w:rPr>
        <w:t xml:space="preserve"> - это один из самых сложных видов спорта, в котором от спортсмена требуется идеальное сочетание выносливости, силы и скорости. </w:t>
      </w:r>
      <w:r>
        <w:rPr>
          <w:rFonts w:ascii="Times New Roman" w:hAnsi="Times New Roman" w:cs="Times New Roman"/>
          <w:b/>
          <w:bCs/>
          <w:sz w:val="24"/>
          <w:szCs w:val="24"/>
          <w:lang w:eastAsia="ru-RU"/>
        </w:rPr>
        <w:t>Бокс</w:t>
      </w:r>
      <w:r>
        <w:rPr>
          <w:rFonts w:ascii="Times New Roman" w:hAnsi="Times New Roman" w:cs="Times New Roman"/>
          <w:sz w:val="24"/>
          <w:szCs w:val="24"/>
          <w:lang w:eastAsia="ru-RU"/>
        </w:rPr>
        <w:t xml:space="preserve"> (от </w:t>
      </w:r>
      <w:r>
        <w:fldChar w:fldCharType="begin"/>
      </w:r>
      <w:r>
        <w:instrText xml:space="preserve"> HYPERLINK "https://ru.wikipedia.org/wiki/%D0%90%D0%BD%D0%B3%D0%BB%D0%B8%D0%B9%D1%81%D0%BA%D0%B8%D0%B9_%D1%8F%D0%B7%D1%8B%D0%BA" \o "Английский язык" </w:instrText>
      </w:r>
      <w:r>
        <w:fldChar w:fldCharType="separate"/>
      </w:r>
      <w:r>
        <w:rPr>
          <w:rFonts w:ascii="Times New Roman" w:hAnsi="Times New Roman" w:cs="Times New Roman"/>
          <w:sz w:val="24"/>
          <w:szCs w:val="24"/>
          <w:lang w:eastAsia="ru-RU"/>
        </w:rPr>
        <w:t>англ.</w:t>
      </w:r>
      <w:r>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w:t>
      </w:r>
      <w:r>
        <w:rPr>
          <w:rFonts w:ascii="Times New Roman" w:hAnsi="Times New Roman" w:cs="Times New Roman"/>
          <w:i/>
          <w:iCs/>
          <w:sz w:val="24"/>
          <w:szCs w:val="24"/>
          <w:lang w:eastAsia="ru-RU"/>
        </w:rPr>
        <w:t>box</w:t>
      </w:r>
      <w:r>
        <w:rPr>
          <w:rFonts w:ascii="Times New Roman" w:hAnsi="Times New Roman" w:cs="Times New Roman"/>
          <w:sz w:val="24"/>
          <w:szCs w:val="24"/>
          <w:lang w:eastAsia="ru-RU"/>
        </w:rPr>
        <w:t xml:space="preserve"> - коробка, ящик, ринг)  - контактный вид </w:t>
      </w:r>
      <w:r>
        <w:fldChar w:fldCharType="begin"/>
      </w:r>
      <w:r>
        <w:instrText xml:space="preserve"> HYPERLINK "https://ru.wikipedia.org/wiki/%D0%A1%D0%BF%D0%BE%D1%80%D1%82" \o "Спорт" </w:instrText>
      </w:r>
      <w:r>
        <w:fldChar w:fldCharType="separate"/>
      </w:r>
      <w:r>
        <w:rPr>
          <w:rFonts w:ascii="Times New Roman" w:hAnsi="Times New Roman" w:cs="Times New Roman"/>
          <w:sz w:val="24"/>
          <w:szCs w:val="24"/>
          <w:lang w:eastAsia="ru-RU"/>
        </w:rPr>
        <w:t>спорта</w:t>
      </w:r>
      <w:r>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единоборство, в котором спортсмены наносят друг другу удары </w:t>
      </w:r>
      <w:r>
        <w:fldChar w:fldCharType="begin"/>
      </w:r>
      <w:r>
        <w:instrText xml:space="preserve"> HYPERLINK "https://ru.wikipedia.org/wiki/%D0%9A%D1%83%D0%BB%D0%B0%D0%BA_%28%D1%80%D1%83%D0%BA%D0%B0%29" \o "Кулак (рука)" </w:instrText>
      </w:r>
      <w:r>
        <w:fldChar w:fldCharType="separate"/>
      </w:r>
      <w:r>
        <w:rPr>
          <w:rFonts w:ascii="Times New Roman" w:hAnsi="Times New Roman" w:cs="Times New Roman"/>
          <w:sz w:val="24"/>
          <w:szCs w:val="24"/>
          <w:lang w:eastAsia="ru-RU"/>
        </w:rPr>
        <w:t>кулаками</w:t>
      </w:r>
      <w:r>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в специальных перчатках. </w:t>
      </w:r>
      <w:r>
        <w:fldChar w:fldCharType="begin"/>
      </w:r>
      <w:r>
        <w:instrText xml:space="preserve"> HYPERLINK "https://ru.wikipedia.org/w/index.php?title=%D0%A0%D0%B5%D1%84%D0%B5%D1%80%D0%B8_%28%D0%B1%D0%BE%D0%BA%D1%81%29&amp;action=edit&amp;redlink=1" \o "Рефери (бокс) (страница отсутствует)" </w:instrText>
      </w:r>
      <w:r>
        <w:fldChar w:fldCharType="separate"/>
      </w:r>
      <w:r>
        <w:rPr>
          <w:rFonts w:ascii="Times New Roman" w:hAnsi="Times New Roman" w:cs="Times New Roman"/>
          <w:sz w:val="24"/>
          <w:szCs w:val="24"/>
          <w:lang w:eastAsia="ru-RU"/>
        </w:rPr>
        <w:t>Рефери</w:t>
      </w:r>
      <w:r>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контролирует бой, который длится от 3 до 12 раундов. Победа присваивается в случае, если соперник сбит с ног и не может подняться в течение десяти секунд (</w:t>
      </w:r>
      <w:r>
        <w:fldChar w:fldCharType="begin"/>
      </w:r>
      <w:r>
        <w:instrText xml:space="preserve"> HYPERLINK "https://ru.wikipedia.org/wiki/%D0%9D%D0%BE%D0%BA%D0%B0%D1%83%D1%82" \o "Нокаут" </w:instrText>
      </w:r>
      <w:r>
        <w:fldChar w:fldCharType="separate"/>
      </w:r>
      <w:r>
        <w:rPr>
          <w:rFonts w:ascii="Times New Roman" w:hAnsi="Times New Roman" w:cs="Times New Roman"/>
          <w:sz w:val="24"/>
          <w:szCs w:val="24"/>
          <w:lang w:eastAsia="ru-RU"/>
        </w:rPr>
        <w:t>нокаут</w:t>
      </w:r>
      <w:r>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или если он получил травму, не позволяющую продолжать бой (технический нокаут). Если после установленного количества раундов поединок не был прекращён, то победитель определяется оценками судей.</w:t>
      </w:r>
    </w:p>
    <w:p w14:paraId="6B5BE9CE">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Актуальность программы и педагогическая целесообразность</w:t>
      </w:r>
      <w:r>
        <w:rPr>
          <w:rFonts w:ascii="Times New Roman" w:hAnsi="Times New Roman" w:cs="Times New Roman"/>
          <w:sz w:val="24"/>
          <w:szCs w:val="24"/>
          <w:lang w:eastAsia="ru-RU"/>
        </w:rPr>
        <w:t xml:space="preserve"> связана с тем, что её реализация позволяет удовлетворить запросы родителей в организации занятий детей школьного возраста общефизической подготовкой, так и для подростков, не прошедших отбор на обучение по другим видам спорта. Занятия боксом всесторонне развивают обучающегося, формируют потенциал для физического развития, восполняют недостаток двигательной активности современных школьников. Способствуют воспитанию волевых черт характера: </w:t>
      </w:r>
      <w:r>
        <w:rPr>
          <w:rFonts w:ascii="Times New Roman" w:hAnsi="Times New Roman" w:cs="Times New Roman"/>
          <w:sz w:val="24"/>
          <w:szCs w:val="24"/>
          <w:shd w:val="clear" w:color="auto" w:fill="FFFFFF"/>
        </w:rPr>
        <w:t>целеустремленность и настойчивость, выдержка и самообладание, решительность и смелость, инициативность и дисциплинированность.</w:t>
      </w:r>
    </w:p>
    <w:p w14:paraId="2A4398FB">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Установка на всестороннее развитие личности предполагает овладение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3B348344">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Отличительной</w:t>
      </w:r>
      <w:r>
        <w:rPr>
          <w:rFonts w:ascii="Times New Roman" w:hAnsi="Times New Roman" w:cs="Times New Roman"/>
          <w:b/>
          <w:bCs/>
          <w:spacing w:val="53"/>
          <w:sz w:val="24"/>
          <w:szCs w:val="24"/>
        </w:rPr>
        <w:t xml:space="preserve"> </w:t>
      </w:r>
      <w:r>
        <w:rPr>
          <w:rFonts w:ascii="Times New Roman" w:hAnsi="Times New Roman" w:cs="Times New Roman"/>
          <w:b/>
          <w:bCs/>
          <w:sz w:val="24"/>
          <w:szCs w:val="24"/>
        </w:rPr>
        <w:t>особенностью</w:t>
      </w:r>
      <w:r>
        <w:rPr>
          <w:rFonts w:ascii="Times New Roman" w:hAnsi="Times New Roman" w:cs="Times New Roman"/>
          <w:b/>
          <w:bCs/>
          <w:spacing w:val="47"/>
          <w:sz w:val="24"/>
          <w:szCs w:val="24"/>
        </w:rPr>
        <w:t xml:space="preserve"> </w:t>
      </w:r>
      <w:r>
        <w:rPr>
          <w:rFonts w:ascii="Times New Roman" w:hAnsi="Times New Roman" w:cs="Times New Roman"/>
          <w:b/>
          <w:bCs/>
          <w:sz w:val="24"/>
          <w:szCs w:val="24"/>
        </w:rPr>
        <w:t>Программы</w:t>
      </w:r>
      <w:r>
        <w:rPr>
          <w:rFonts w:ascii="Times New Roman" w:hAnsi="Times New Roman" w:cs="Times New Roman"/>
          <w:sz w:val="24"/>
          <w:szCs w:val="24"/>
        </w:rPr>
        <w:t xml:space="preserve"> является </w:t>
      </w:r>
      <w:r>
        <w:rPr>
          <w:rFonts w:ascii="Times New Roman" w:hAnsi="Times New Roman" w:cs="Times New Roman"/>
          <w:sz w:val="24"/>
          <w:szCs w:val="24"/>
          <w:shd w:val="clear" w:color="auto" w:fill="FFFFFF"/>
        </w:rPr>
        <w:t>ее направленность на развитие у обучающихся координации движений, принятие правильных решений в быстро меняющейся обстановке, развитию силы, быстроты и выносливости.</w:t>
      </w:r>
    </w:p>
    <w:p w14:paraId="023B3F60">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Специфика организации обучения </w:t>
      </w:r>
      <w:r>
        <w:rPr>
          <w:rFonts w:ascii="Times New Roman" w:hAnsi="Times New Roman" w:cs="Times New Roman"/>
          <w:sz w:val="24"/>
          <w:szCs w:val="24"/>
          <w:lang w:eastAsia="ru-RU"/>
        </w:rPr>
        <w:t>исходит из наличия и условий учебно-тренировочной базы с учётом оптимального объёма разносторонней физической подготовки; постепенного увеличения интенсивности тренировочного процесса.  Структура образовательной программы подразумевает обучение по модулю:</w:t>
      </w:r>
    </w:p>
    <w:p w14:paraId="7BBF8C98">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Модуль 1 – общеподготовительный -  2 часа в неделю.</w:t>
      </w:r>
    </w:p>
    <w:p w14:paraId="4DB195FB">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Модуль 2 – специализированный -  4 часа в неделю.</w:t>
      </w:r>
    </w:p>
    <w:p w14:paraId="63E39F75">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Адреса места осуществления образовательной деятельности по дополнительной общеразвивающей программе «В двух шагах от ринга»</w:t>
      </w:r>
      <w:r>
        <w:rPr>
          <w:rFonts w:ascii="Times New Roman" w:hAnsi="Times New Roman" w:cs="Times New Roman"/>
          <w:b/>
          <w:bCs/>
          <w:sz w:val="24"/>
          <w:szCs w:val="24"/>
          <w:lang w:eastAsia="ru-RU"/>
        </w:rPr>
        <w:t>:</w:t>
      </w:r>
    </w:p>
    <w:p w14:paraId="721BEF93">
      <w:pPr>
        <w:spacing w:after="0" w:line="360" w:lineRule="auto"/>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t xml:space="preserve">-188320, Ленинградская область, Гатчинский район, </w:t>
      </w:r>
      <w:r>
        <w:rPr>
          <w:rFonts w:ascii="Times New Roman" w:hAnsi="Times New Roman" w:cs="Times New Roman"/>
          <w:sz w:val="24"/>
          <w:szCs w:val="24"/>
          <w:shd w:val="clear" w:color="auto" w:fill="FFFFFF"/>
          <w:lang w:eastAsia="ru-RU"/>
        </w:rPr>
        <w:t>Зал на ул. Гатчинская, д.20А, блок “Е” (2 этаж);</w:t>
      </w:r>
    </w:p>
    <w:p w14:paraId="441FAEA3">
      <w:pPr>
        <w:suppressAutoHyphen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-188320, Ленинградская область, Гатчинский район, г. Коммунар, ул.Лен. шоссе, д.3 (МКУ ФОК «Олимп»).</w:t>
      </w:r>
    </w:p>
    <w:p w14:paraId="2AFB03D4">
      <w:pPr>
        <w:spacing w:after="0" w:line="360" w:lineRule="auto"/>
        <w:jc w:val="both"/>
        <w:rPr>
          <w:rFonts w:ascii="Times New Roman" w:hAnsi="Times New Roman" w:cs="Times New Roman"/>
          <w:sz w:val="24"/>
          <w:szCs w:val="24"/>
          <w:lang w:eastAsia="zh-CN"/>
        </w:rPr>
      </w:pPr>
      <w:r>
        <w:rPr>
          <w:rFonts w:ascii="Times New Roman" w:hAnsi="Times New Roman" w:cs="Times New Roman"/>
          <w:b/>
          <w:bCs/>
          <w:sz w:val="24"/>
          <w:szCs w:val="24"/>
          <w:shd w:val="clear" w:color="auto" w:fill="FFFFFF"/>
          <w:lang w:eastAsia="ru-RU"/>
        </w:rPr>
        <w:t>Цель Программы Модуль 1 общеподготовительный</w:t>
      </w:r>
      <w:r>
        <w:rPr>
          <w:rFonts w:ascii="Times New Roman" w:hAnsi="Times New Roman" w:cs="Times New Roman"/>
          <w:sz w:val="24"/>
          <w:szCs w:val="24"/>
          <w:shd w:val="clear" w:color="auto" w:fill="FFFFFF"/>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lang w:eastAsia="zh-CN"/>
        </w:rPr>
        <w:t>содействие овладению обучающимися упражнениями общей физической подготовки, приобретение знаний, умений и навыков в области физической культуры и спорта, медицины и гигиены.</w:t>
      </w:r>
    </w:p>
    <w:p w14:paraId="2735A93F">
      <w:pPr>
        <w:spacing w:after="0" w:line="360" w:lineRule="auto"/>
        <w:jc w:val="both"/>
        <w:rPr>
          <w:rFonts w:ascii="Times New Roman" w:hAnsi="Times New Roman" w:cs="Times New Roman"/>
          <w:sz w:val="24"/>
          <w:szCs w:val="24"/>
          <w:lang w:eastAsia="zh-CN"/>
        </w:rPr>
      </w:pPr>
      <w:r>
        <w:rPr>
          <w:rFonts w:ascii="Times New Roman" w:hAnsi="Times New Roman" w:cs="Times New Roman"/>
          <w:b/>
          <w:bCs/>
          <w:color w:val="000000"/>
          <w:sz w:val="24"/>
          <w:szCs w:val="24"/>
          <w:shd w:val="clear" w:color="auto" w:fill="FFFFFF"/>
          <w:lang w:eastAsia="ru-RU"/>
        </w:rPr>
        <w:t>Цель Программы Модуль 2 специализированный</w:t>
      </w:r>
      <w:r>
        <w:rPr>
          <w:rFonts w:ascii="Times New Roman" w:hAnsi="Times New Roman" w:cs="Times New Roman"/>
          <w:color w:val="000000"/>
          <w:sz w:val="24"/>
          <w:szCs w:val="24"/>
          <w:shd w:val="clear" w:color="auto" w:fill="FFFFFF"/>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lang w:eastAsia="zh-CN"/>
        </w:rPr>
        <w:t>содействие начальному навыку овладения специальными физическими упражнениями, приобретение знаний, умений и навыков в области физической культуры и спорта, медицины и гигиены.</w:t>
      </w:r>
    </w:p>
    <w:p w14:paraId="25986F2C">
      <w:pPr>
        <w:spacing w:after="0" w:line="360" w:lineRule="auto"/>
        <w:ind w:firstLine="708"/>
        <w:jc w:val="both"/>
        <w:rPr>
          <w:rFonts w:hint="default" w:ascii="Times New Roman" w:hAnsi="Times New Roman" w:cs="Times New Roman"/>
          <w:sz w:val="24"/>
          <w:szCs w:val="24"/>
          <w:lang w:val="en-US" w:eastAsia="ru-RU"/>
        </w:rPr>
      </w:pPr>
      <w:r>
        <w:rPr>
          <w:rFonts w:ascii="Times New Roman" w:hAnsi="Times New Roman" w:cs="Times New Roman"/>
          <w:b/>
          <w:bCs/>
          <w:sz w:val="24"/>
          <w:szCs w:val="24"/>
          <w:lang w:eastAsia="ru-RU"/>
        </w:rPr>
        <w:t>Основные задачи</w:t>
      </w:r>
      <w:r>
        <w:rPr>
          <w:rFonts w:hint="default" w:ascii="Times New Roman" w:hAnsi="Times New Roman" w:cs="Times New Roman"/>
          <w:b/>
          <w:bCs/>
          <w:sz w:val="24"/>
          <w:szCs w:val="24"/>
          <w:lang w:val="en-US" w:eastAsia="ru-RU"/>
        </w:rPr>
        <w:t xml:space="preserve"> </w:t>
      </w:r>
      <w:r>
        <w:rPr>
          <w:rFonts w:ascii="Times New Roman" w:hAnsi="Times New Roman" w:cs="Times New Roman"/>
          <w:b/>
          <w:bCs/>
          <w:sz w:val="24"/>
          <w:szCs w:val="24"/>
          <w:shd w:val="clear" w:color="auto" w:fill="FFFFFF"/>
          <w:lang w:eastAsia="ru-RU"/>
        </w:rPr>
        <w:t>Программы Модуль 1 общеподготовительный</w:t>
      </w:r>
      <w:r>
        <w:rPr>
          <w:rFonts w:ascii="Times New Roman" w:hAnsi="Times New Roman" w:cs="Times New Roman"/>
          <w:sz w:val="24"/>
          <w:szCs w:val="24"/>
          <w:shd w:val="clear" w:color="auto" w:fill="FFFFFF"/>
          <w:lang w:eastAsia="ru-RU"/>
        </w:rPr>
        <w:t>:</w:t>
      </w:r>
    </w:p>
    <w:p w14:paraId="5776FA9E">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Обучающие задачи:</w:t>
      </w:r>
      <w:r>
        <w:rPr>
          <w:rFonts w:ascii="Times New Roman" w:hAnsi="Times New Roman" w:cs="Times New Roman"/>
          <w:sz w:val="24"/>
          <w:szCs w:val="24"/>
          <w:lang w:eastAsia="ru-RU"/>
        </w:rPr>
        <w:t xml:space="preserve"> формирование общих представлений о боксе, о его возможностях и значении в процессе укрепления здоровья, физическом развитии и физической подготовленности обучающихся;</w:t>
      </w:r>
    </w:p>
    <w:p w14:paraId="263316DC">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Развивающие задачи:</w:t>
      </w:r>
      <w:r>
        <w:rPr>
          <w:rFonts w:ascii="Times New Roman" w:hAnsi="Times New Roman" w:cs="Times New Roman"/>
          <w:sz w:val="24"/>
          <w:szCs w:val="24"/>
          <w:lang w:eastAsia="ru-RU"/>
        </w:rPr>
        <w:t xml:space="preserve"> развивать быстроту, координацию, ловкость, силу и способствовать повышению уровня функциональной подготовленности;</w:t>
      </w:r>
    </w:p>
    <w:p w14:paraId="723A5C5C">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Воспитательные задачи общеподготовительного модуля:</w:t>
      </w:r>
      <w:r>
        <w:rPr>
          <w:rFonts w:ascii="Times New Roman" w:hAnsi="Times New Roman" w:cs="Times New Roman"/>
          <w:sz w:val="24"/>
          <w:szCs w:val="24"/>
          <w:lang w:eastAsia="ru-RU"/>
        </w:rPr>
        <w:t xml:space="preserve"> воспитывать культуру здорового образа жизни и морально-волевых качеств личности.</w:t>
      </w:r>
    </w:p>
    <w:p w14:paraId="223CF9AC">
      <w:pPr>
        <w:spacing w:after="0" w:line="360" w:lineRule="auto"/>
        <w:ind w:firstLine="708"/>
        <w:jc w:val="both"/>
        <w:rPr>
          <w:rFonts w:hint="default" w:ascii="Times New Roman" w:hAnsi="Times New Roman" w:cs="Times New Roman"/>
          <w:sz w:val="24"/>
          <w:szCs w:val="24"/>
          <w:lang w:val="en-US" w:eastAsia="ru-RU"/>
        </w:rPr>
      </w:pPr>
      <w:r>
        <w:rPr>
          <w:rFonts w:ascii="Times New Roman" w:hAnsi="Times New Roman" w:cs="Times New Roman"/>
          <w:b/>
          <w:bCs/>
          <w:sz w:val="24"/>
          <w:szCs w:val="24"/>
          <w:lang w:eastAsia="ru-RU"/>
        </w:rPr>
        <w:t>Основные задачи</w:t>
      </w:r>
      <w:r>
        <w:rPr>
          <w:rFonts w:hint="default" w:ascii="Times New Roman" w:hAnsi="Times New Roman" w:cs="Times New Roman"/>
          <w:b/>
          <w:bCs/>
          <w:sz w:val="24"/>
          <w:szCs w:val="24"/>
          <w:lang w:val="en-US" w:eastAsia="ru-RU"/>
        </w:rPr>
        <w:t xml:space="preserve"> </w:t>
      </w:r>
      <w:r>
        <w:rPr>
          <w:rFonts w:ascii="Times New Roman" w:hAnsi="Times New Roman" w:cs="Times New Roman"/>
          <w:b/>
          <w:bCs/>
          <w:color w:val="000000"/>
          <w:sz w:val="24"/>
          <w:szCs w:val="24"/>
          <w:shd w:val="clear" w:color="auto" w:fill="FFFFFF"/>
          <w:lang w:eastAsia="ru-RU"/>
        </w:rPr>
        <w:t>Программы Модуль 2 специализированный</w:t>
      </w:r>
      <w:r>
        <w:rPr>
          <w:rFonts w:ascii="Times New Roman" w:hAnsi="Times New Roman" w:cs="Times New Roman"/>
          <w:color w:val="000000"/>
          <w:sz w:val="24"/>
          <w:szCs w:val="24"/>
          <w:shd w:val="clear" w:color="auto" w:fill="FFFFFF"/>
          <w:lang w:eastAsia="ru-RU"/>
        </w:rPr>
        <w:t>:</w:t>
      </w:r>
    </w:p>
    <w:p w14:paraId="578BB785">
      <w:pPr>
        <w:spacing w:after="0" w:line="36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Обучающие задачи:</w:t>
      </w:r>
      <w:r>
        <w:rPr>
          <w:rFonts w:ascii="Times New Roman" w:hAnsi="Times New Roman" w:cs="Times New Roman"/>
          <w:sz w:val="24"/>
          <w:szCs w:val="24"/>
          <w:lang w:eastAsia="ru-RU"/>
        </w:rPr>
        <w:t xml:space="preserve"> Развитие способностей к реализации избранного вида деятельности в предметной области; формирование устойчивой мотивации к занятиям физической культурой и спортом;</w:t>
      </w:r>
    </w:p>
    <w:p w14:paraId="578522DF">
      <w:pPr>
        <w:spacing w:after="0" w:line="36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Развивающие задачи:</w:t>
      </w:r>
      <w:r>
        <w:rPr>
          <w:rFonts w:ascii="Times New Roman" w:hAnsi="Times New Roman" w:cs="Times New Roman"/>
          <w:sz w:val="24"/>
          <w:szCs w:val="24"/>
          <w:lang w:eastAsia="ru-RU"/>
        </w:rPr>
        <w:t xml:space="preserve"> Расширение функциональных возможностей всех органов и систем;</w:t>
      </w:r>
      <w:r>
        <w:rPr>
          <w:rFonts w:ascii="Times New Roman" w:hAnsi="Times New Roman" w:cs="Times New Roman"/>
          <w:color w:val="0000FF"/>
          <w:sz w:val="24"/>
          <w:szCs w:val="24"/>
          <w:u w:val="single"/>
          <w:lang w:eastAsia="ru-RU"/>
        </w:rPr>
        <w:t xml:space="preserve"> </w:t>
      </w:r>
      <w:r>
        <w:rPr>
          <w:rFonts w:ascii="Times New Roman" w:hAnsi="Times New Roman" w:cs="Times New Roman"/>
          <w:b/>
          <w:bCs/>
          <w:sz w:val="24"/>
          <w:szCs w:val="24"/>
          <w:lang w:eastAsia="ru-RU"/>
        </w:rPr>
        <w:t>Воспитательные задачи:</w:t>
      </w:r>
      <w:r>
        <w:rPr>
          <w:rFonts w:ascii="Times New Roman" w:hAnsi="Times New Roman" w:cs="Times New Roman"/>
          <w:sz w:val="24"/>
          <w:szCs w:val="24"/>
          <w:lang w:eastAsia="ru-RU"/>
        </w:rPr>
        <w:t xml:space="preserve"> Воспитание потребности к систематическим занятиям физической культурой и спортом.</w:t>
      </w:r>
    </w:p>
    <w:p w14:paraId="41C7C0D1">
      <w:pPr>
        <w:spacing w:after="0" w:line="360" w:lineRule="auto"/>
        <w:ind w:firstLine="708"/>
        <w:jc w:val="both"/>
        <w:rPr>
          <w:rFonts w:ascii="Times New Roman" w:hAnsi="Times New Roman" w:cs="Times New Roman"/>
          <w:sz w:val="24"/>
          <w:szCs w:val="24"/>
          <w:lang w:eastAsia="ru-RU"/>
        </w:rPr>
      </w:pPr>
    </w:p>
    <w:p w14:paraId="6D87CFD0">
      <w:pPr>
        <w:shd w:val="clear" w:color="auto" w:fill="FFFFFF"/>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Возраст обучающихся –10– 18 лет.</w:t>
      </w:r>
    </w:p>
    <w:p w14:paraId="253BDB90">
      <w:pPr>
        <w:shd w:val="clear" w:color="auto" w:fill="FFFFFF"/>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Программа рассчитана на один год обу</w:t>
      </w:r>
      <w:r>
        <w:rPr>
          <w:rFonts w:ascii="Times New Roman" w:hAnsi="Times New Roman" w:cs="Times New Roman"/>
          <w:b/>
          <w:bCs/>
          <w:sz w:val="24"/>
          <w:szCs w:val="24"/>
          <w:lang w:eastAsia="ru-RU"/>
        </w:rPr>
        <w:softHyphen/>
      </w:r>
      <w:r>
        <w:rPr>
          <w:rFonts w:ascii="Times New Roman" w:hAnsi="Times New Roman" w:cs="Times New Roman"/>
          <w:b/>
          <w:bCs/>
          <w:sz w:val="24"/>
          <w:szCs w:val="24"/>
          <w:lang w:eastAsia="ru-RU"/>
        </w:rPr>
        <w:t>чения.</w:t>
      </w:r>
    </w:p>
    <w:p w14:paraId="14BCBAA2">
      <w:pPr>
        <w:shd w:val="clear" w:color="auto" w:fill="FFFFFF"/>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Формирование групп.</w:t>
      </w:r>
    </w:p>
    <w:p w14:paraId="1FBDC339">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формировании учебно-тренировочных групп учитываются следующие особенности:</w:t>
      </w:r>
    </w:p>
    <w:p w14:paraId="646A06F8">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возрастные и гендерные особенности развития обучающихся;</w:t>
      </w:r>
    </w:p>
    <w:p w14:paraId="36224886">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-условия материально – технической базы при проведении занятий;</w:t>
      </w:r>
    </w:p>
    <w:p w14:paraId="28F61BAB">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-обязательное соблюдение техники безопасности при организации образовательного процесса;</w:t>
      </w:r>
    </w:p>
    <w:p w14:paraId="105F16B2">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спрос и потребности обучающихся и их семей на образовательную услугу.</w:t>
      </w:r>
    </w:p>
    <w:tbl>
      <w:tblPr>
        <w:tblStyle w:val="3"/>
        <w:tblW w:w="0" w:type="auto"/>
        <w:tblInd w:w="2" w:type="dxa"/>
        <w:tblLayout w:type="fixed"/>
        <w:tblCellMar>
          <w:top w:w="0" w:type="dxa"/>
          <w:left w:w="0" w:type="dxa"/>
          <w:bottom w:w="0" w:type="dxa"/>
          <w:right w:w="0" w:type="dxa"/>
        </w:tblCellMar>
      </w:tblPr>
      <w:tblGrid>
        <w:gridCol w:w="2410"/>
        <w:gridCol w:w="2268"/>
        <w:gridCol w:w="2693"/>
        <w:gridCol w:w="2977"/>
      </w:tblGrid>
      <w:tr w14:paraId="2A0EDABC">
        <w:tblPrEx>
          <w:tblCellMar>
            <w:top w:w="0" w:type="dxa"/>
            <w:left w:w="0" w:type="dxa"/>
            <w:bottom w:w="0" w:type="dxa"/>
            <w:right w:w="0" w:type="dxa"/>
          </w:tblCellMar>
        </w:tblPrEx>
        <w:tc>
          <w:tcPr>
            <w:tcW w:w="24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2AAA369">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Продолжительность этапов (в годах)</w:t>
            </w:r>
          </w:p>
        </w:tc>
        <w:tc>
          <w:tcPr>
            <w:tcW w:w="2268" w:type="dxa"/>
            <w:tcBorders>
              <w:top w:val="single" w:color="000000" w:sz="6" w:space="0"/>
              <w:left w:val="single" w:color="000000" w:sz="6" w:space="0"/>
              <w:bottom w:val="single" w:color="000000" w:sz="6" w:space="0"/>
              <w:right w:val="single" w:color="auto" w:sz="4" w:space="0"/>
            </w:tcBorders>
            <w:tcMar>
              <w:top w:w="0" w:type="dxa"/>
              <w:left w:w="149" w:type="dxa"/>
              <w:bottom w:w="0" w:type="dxa"/>
              <w:right w:w="149" w:type="dxa"/>
            </w:tcMar>
          </w:tcPr>
          <w:p w14:paraId="3F6DF1A0">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Минимальный возраст для зачисления в группы (лет)</w:t>
            </w:r>
          </w:p>
        </w:tc>
        <w:tc>
          <w:tcPr>
            <w:tcW w:w="2693" w:type="dxa"/>
            <w:tcBorders>
              <w:top w:val="single" w:color="000000" w:sz="6" w:space="0"/>
              <w:left w:val="single" w:color="auto" w:sz="4" w:space="0"/>
              <w:bottom w:val="single" w:color="000000" w:sz="6" w:space="0"/>
              <w:right w:val="single" w:color="000000" w:sz="6" w:space="0"/>
            </w:tcBorders>
          </w:tcPr>
          <w:p w14:paraId="7DABE6C5">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Максимальный возраст для зачисления в группы (лет)</w:t>
            </w:r>
          </w:p>
        </w:tc>
        <w:tc>
          <w:tcPr>
            <w:tcW w:w="297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A6123DF">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Число обучающихся</w:t>
            </w:r>
          </w:p>
          <w:p w14:paraId="13B2C257">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sz w:val="24"/>
                <w:szCs w:val="24"/>
                <w:lang w:eastAsia="ru-RU"/>
              </w:rPr>
              <w:t>в группе</w:t>
            </w:r>
            <w:r>
              <w:rPr>
                <w:rFonts w:ascii="Times New Roman" w:hAnsi="Times New Roman" w:cs="Times New Roman"/>
                <w:color w:val="2D2D2D"/>
                <w:sz w:val="24"/>
                <w:szCs w:val="24"/>
                <w:lang w:eastAsia="ru-RU"/>
              </w:rPr>
              <w:t xml:space="preserve"> </w:t>
            </w:r>
          </w:p>
          <w:p w14:paraId="36233F5E">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(минимальное и максимальное)</w:t>
            </w:r>
          </w:p>
        </w:tc>
      </w:tr>
      <w:tr w14:paraId="6FBA5DFD">
        <w:tblPrEx>
          <w:tblCellMar>
            <w:top w:w="0" w:type="dxa"/>
            <w:left w:w="0" w:type="dxa"/>
            <w:bottom w:w="0" w:type="dxa"/>
            <w:right w:w="0" w:type="dxa"/>
          </w:tblCellMar>
        </w:tblPrEx>
        <w:tc>
          <w:tcPr>
            <w:tcW w:w="24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C81A957">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 xml:space="preserve"> 1 год</w:t>
            </w:r>
          </w:p>
        </w:tc>
        <w:tc>
          <w:tcPr>
            <w:tcW w:w="2268" w:type="dxa"/>
            <w:tcBorders>
              <w:top w:val="single" w:color="000000" w:sz="6" w:space="0"/>
              <w:left w:val="single" w:color="000000" w:sz="6" w:space="0"/>
              <w:bottom w:val="single" w:color="000000" w:sz="6" w:space="0"/>
              <w:right w:val="single" w:color="auto" w:sz="4" w:space="0"/>
            </w:tcBorders>
            <w:tcMar>
              <w:top w:w="0" w:type="dxa"/>
              <w:left w:w="149" w:type="dxa"/>
              <w:bottom w:w="0" w:type="dxa"/>
              <w:right w:w="149" w:type="dxa"/>
            </w:tcMar>
          </w:tcPr>
          <w:p w14:paraId="6943E90E">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10</w:t>
            </w:r>
          </w:p>
        </w:tc>
        <w:tc>
          <w:tcPr>
            <w:tcW w:w="2693" w:type="dxa"/>
            <w:tcBorders>
              <w:top w:val="single" w:color="000000" w:sz="6" w:space="0"/>
              <w:left w:val="single" w:color="auto" w:sz="4" w:space="0"/>
              <w:bottom w:val="single" w:color="000000" w:sz="6" w:space="0"/>
              <w:right w:val="single" w:color="000000" w:sz="6" w:space="0"/>
            </w:tcBorders>
          </w:tcPr>
          <w:p w14:paraId="796A87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97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2621456">
            <w:pPr>
              <w:spacing w:after="0" w:line="360" w:lineRule="auto"/>
              <w:jc w:val="center"/>
              <w:textAlignment w:val="baseline"/>
              <w:rPr>
                <w:rFonts w:ascii="Times New Roman" w:hAnsi="Times New Roman" w:cs="Times New Roman"/>
                <w:color w:val="2D2D2D"/>
                <w:sz w:val="24"/>
                <w:szCs w:val="24"/>
                <w:lang w:eastAsia="ru-RU"/>
              </w:rPr>
            </w:pPr>
            <w:r>
              <w:rPr>
                <w:rFonts w:ascii="Times New Roman" w:hAnsi="Times New Roman" w:cs="Times New Roman"/>
                <w:color w:val="2D2D2D"/>
                <w:sz w:val="24"/>
                <w:szCs w:val="24"/>
                <w:lang w:eastAsia="ru-RU"/>
              </w:rPr>
              <w:t>15 - 30</w:t>
            </w:r>
          </w:p>
        </w:tc>
      </w:tr>
    </w:tbl>
    <w:p w14:paraId="40B32D6B">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Режим занятий по </w:t>
      </w:r>
      <w:r>
        <w:rPr>
          <w:rFonts w:ascii="Times New Roman" w:hAnsi="Times New Roman" w:cs="Times New Roman"/>
          <w:b/>
          <w:bCs/>
          <w:sz w:val="24"/>
          <w:szCs w:val="24"/>
          <w:lang w:val="ru-RU" w:eastAsia="zh-CN"/>
        </w:rPr>
        <w:t>общеподготовительному</w:t>
      </w:r>
      <w:r>
        <w:rPr>
          <w:rFonts w:ascii="Times New Roman" w:hAnsi="Times New Roman" w:cs="Times New Roman"/>
          <w:b/>
          <w:bCs/>
          <w:sz w:val="24"/>
          <w:szCs w:val="24"/>
          <w:lang w:eastAsia="zh-CN"/>
        </w:rPr>
        <w:t xml:space="preserve"> модулю:</w:t>
      </w:r>
    </w:p>
    <w:p w14:paraId="2DEF7A44">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-продолжительность одного часа 45 минут;</w:t>
      </w:r>
    </w:p>
    <w:p w14:paraId="3C3BB033">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-продолжительность одного занятия 45 минут;</w:t>
      </w:r>
    </w:p>
    <w:p w14:paraId="1298ED4E">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-занятия проводятся 1 раза в неделю, общий недельный объём 2 часа;</w:t>
      </w:r>
    </w:p>
    <w:p w14:paraId="3C70EF1C">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-учебно-тематический план рассчитан на 43 недели, без учёта праздничных и выходных дней;</w:t>
      </w:r>
    </w:p>
    <w:p w14:paraId="203760C6">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-между занятиями предусмотрены перерывы не менее 10 минут.</w:t>
      </w:r>
    </w:p>
    <w:p w14:paraId="62DDEDB2">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Режим занятий по специализированному модулю:</w:t>
      </w:r>
    </w:p>
    <w:p w14:paraId="7785D99D">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-продолжительность одного часа 45 минут;</w:t>
      </w:r>
    </w:p>
    <w:p w14:paraId="7E4710A5">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-продолжительность одного занятия 45 минут;</w:t>
      </w:r>
    </w:p>
    <w:p w14:paraId="472A71E6">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-занятия проводятся 2 раза в неделю, общий недельный объём 2 и 4 часа;</w:t>
      </w:r>
    </w:p>
    <w:p w14:paraId="22D1F229">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-учебно-тематический план рассчитан на 43 недель, без учёта праздничных и выходных дней;</w:t>
      </w:r>
    </w:p>
    <w:p w14:paraId="71156720">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-между занятиями предусмотрены перерывы не менее 10 минут.</w:t>
      </w:r>
    </w:p>
    <w:p w14:paraId="3968ADED">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Приём </w:t>
      </w:r>
      <w:r>
        <w:rPr>
          <w:rFonts w:ascii="Times New Roman" w:hAnsi="Times New Roman" w:cs="Times New Roman"/>
          <w:sz w:val="24"/>
          <w:szCs w:val="24"/>
          <w:lang w:eastAsia="ru-RU"/>
        </w:rPr>
        <w:t xml:space="preserve">детей на обучение по программе «В двух шагах от ринга» осуществляется </w:t>
      </w:r>
      <w:r>
        <w:rPr>
          <w:rFonts w:ascii="Times New Roman" w:hAnsi="Times New Roman" w:cs="Times New Roman"/>
          <w:sz w:val="24"/>
          <w:szCs w:val="24"/>
          <w:lang w:val="en-US" w:eastAsia="ru-RU"/>
        </w:rPr>
        <w:t>c</w:t>
      </w:r>
      <w:r>
        <w:rPr>
          <w:rFonts w:ascii="Times New Roman" w:hAnsi="Times New Roman" w:cs="Times New Roman"/>
          <w:sz w:val="24"/>
          <w:szCs w:val="24"/>
          <w:lang w:eastAsia="ru-RU"/>
        </w:rPr>
        <w:t xml:space="preserve"> 19 по 31 августа текущего года при отсутствии медицинских противопоказаний и на основании предварительного просмотра, собеседования, тестирования.</w:t>
      </w:r>
    </w:p>
    <w:p w14:paraId="63B6173B">
      <w:pPr>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Зачисление </w:t>
      </w:r>
      <w:r>
        <w:rPr>
          <w:rFonts w:ascii="Times New Roman" w:hAnsi="Times New Roman" w:cs="Times New Roman"/>
          <w:sz w:val="24"/>
          <w:szCs w:val="24"/>
          <w:lang w:eastAsia="ru-RU"/>
        </w:rPr>
        <w:t>обучающихся на обучение по Программе «В двух шагах от ринга» осуществляется при отсутствии медицинских противопоказаний к занятиям и в результате успешно пройденного предварительного просмотра, тестирования, консультации и электронной регистрации (подачи заявки) на р47.навигатор.дети.</w:t>
      </w:r>
    </w:p>
    <w:p w14:paraId="698BD150">
      <w:pPr>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Форма обучения очная.</w:t>
      </w:r>
    </w:p>
    <w:p w14:paraId="71EBD05D">
      <w:pPr>
        <w:spacing w:after="0" w:line="360" w:lineRule="auto"/>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Формы организации занятий: </w:t>
      </w:r>
      <w:r>
        <w:rPr>
          <w:rFonts w:ascii="Times New Roman" w:hAnsi="Times New Roman" w:cs="Times New Roman"/>
          <w:sz w:val="24"/>
          <w:szCs w:val="24"/>
          <w:lang w:eastAsia="ru-RU"/>
        </w:rPr>
        <w:t>групповые, по подгруппам, индивидуальные. Занятия могут быть теоретическими, практическими, участие в соревнованиях, комбинированными. Комбинированная форма занятий используется чаще всего. Она включает в себя теоретическую часть (беседа, инструктаж, просмотр иллюстраций) и практическую часть (отработка навыков, тренировка, игры, эстафеты, индивидуальной работа).</w:t>
      </w:r>
    </w:p>
    <w:p w14:paraId="735C8AC1">
      <w:pPr>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Условия реализации Программы:</w:t>
      </w:r>
    </w:p>
    <w:p w14:paraId="40CC700D">
      <w:pPr>
        <w:shd w:val="clear" w:color="auto" w:fill="FFFFFF"/>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Оборудование и инвентарь</w:t>
      </w:r>
    </w:p>
    <w:p w14:paraId="43642DEB">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спортивного зала, инвентаря для прыжков, метаний, бега, скамеек, перекладины, гимнастических палок, мячей для спортивных и подвижных игр, набивных мячей, матов.</w:t>
      </w:r>
    </w:p>
    <w:p w14:paraId="3FB1A26E">
      <w:pPr>
        <w:shd w:val="clear" w:color="auto" w:fill="FFFFFF"/>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Экипировка. </w:t>
      </w:r>
    </w:p>
    <w:p w14:paraId="7E9152B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Костюм спортивный, футболки, майки, трусы спортивные, лосины, спортивная обувь. </w:t>
      </w:r>
    </w:p>
    <w:p w14:paraId="6013089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Кадры. </w:t>
      </w:r>
    </w:p>
    <w:p w14:paraId="6C781714">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Грицкевич Владимир Николаевич (высшая квалификационная категория)</w:t>
      </w:r>
    </w:p>
    <w:p w14:paraId="23726C65">
      <w:pPr>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Ожидаемые результаты по окончанию реализации программы:</w:t>
      </w:r>
    </w:p>
    <w:p w14:paraId="6588C9C7">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1.Обучающиеся будут знать:</w:t>
      </w:r>
    </w:p>
    <w:p w14:paraId="2B001707">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1.Способы укрепления здоровья с помощью физических упражнений, соблюдения режима дня, гигиенических навыков, закаливания.</w:t>
      </w:r>
    </w:p>
    <w:p w14:paraId="3146CD83">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2.Правила здорового образа жизни, ответственность личности за свое здоровье. </w:t>
      </w:r>
    </w:p>
    <w:p w14:paraId="36C7FA95">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2.Обучающиеся будут уметь:</w:t>
      </w:r>
    </w:p>
    <w:p w14:paraId="44D59724">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1.Выполнять комплексы общеподготовительных, общеразвивающих физических упражнений.</w:t>
      </w:r>
    </w:p>
    <w:p w14:paraId="0BD1ED6F">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2.Пользоваться спортивным инвентарём, тренажёрами.</w:t>
      </w:r>
    </w:p>
    <w:p w14:paraId="007B0DA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3.Применять правила безопасности на занятиях.</w:t>
      </w:r>
    </w:p>
    <w:p w14:paraId="3A55AA05">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4.Владеть основами техники бокса</w:t>
      </w:r>
    </w:p>
    <w:p w14:paraId="44E930D1">
      <w:pPr>
        <w:spacing w:after="0" w:line="360" w:lineRule="auto"/>
        <w:jc w:val="both"/>
        <w:rPr>
          <w:rFonts w:ascii="Times New Roman" w:hAnsi="Times New Roman" w:cs="Times New Roman"/>
          <w:sz w:val="24"/>
          <w:szCs w:val="24"/>
          <w:lang w:eastAsia="ru-RU"/>
        </w:rPr>
      </w:pPr>
    </w:p>
    <w:p w14:paraId="6DD1B85F">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Личностные результаты освоения Программы:</w:t>
      </w:r>
    </w:p>
    <w:p w14:paraId="097BBF9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освоения Программы ожидается повышение уровня общей физической подготовленности;</w:t>
      </w:r>
    </w:p>
    <w:p w14:paraId="54990FC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745286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-навыки сотрудничества со сверстниками, детьми младшего, среднего и старшего школьных возрастов, взрослыми в образовательной, общественно полезной, проектной и других видах деятельности; </w:t>
      </w:r>
    </w:p>
    <w:p w14:paraId="21A03E1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-нравственное сознание и поведение на основе усвоения общечеловеческих ценностей; </w:t>
      </w:r>
    </w:p>
    <w:p w14:paraId="5CE63D73">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-готовность и способность к образованию, в том числе самообразованию, на протяжении всей жизни;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58942F4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2C750B9A">
      <w:pPr>
        <w:spacing w:after="0" w:line="360" w:lineRule="auto"/>
        <w:jc w:val="both"/>
        <w:rPr>
          <w:rFonts w:ascii="Times New Roman" w:hAnsi="Times New Roman" w:cs="Times New Roman"/>
          <w:sz w:val="24"/>
          <w:szCs w:val="24"/>
          <w:lang w:eastAsia="ru-RU"/>
        </w:rPr>
      </w:pPr>
    </w:p>
    <w:p w14:paraId="0D0A8E4D">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Метапредметные результаты освоения Программы: </w:t>
      </w:r>
    </w:p>
    <w:p w14:paraId="765BE6BF">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самостоятельно определять цели деятельности и составлять планы деятельности; </w:t>
      </w:r>
    </w:p>
    <w:p w14:paraId="5D69D54A">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-самостоятельно осуществлять, контролировать и корректировать деятельность; </w:t>
      </w:r>
    </w:p>
    <w:p w14:paraId="5E82ECC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10DE922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28F91A8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-владение навыками познавательной, проектной деятельности, навыками разрешения проблем;</w:t>
      </w:r>
    </w:p>
    <w:p w14:paraId="0A83ECF1">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14:paraId="3154F045">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566B7AC1">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754AAC24">
      <w:pPr>
        <w:spacing w:after="0" w:line="360" w:lineRule="auto"/>
        <w:jc w:val="both"/>
        <w:rPr>
          <w:rFonts w:ascii="Times New Roman" w:hAnsi="Times New Roman" w:cs="Times New Roman"/>
          <w:sz w:val="24"/>
          <w:szCs w:val="24"/>
          <w:lang w:eastAsia="ru-RU"/>
        </w:rPr>
      </w:pPr>
    </w:p>
    <w:p w14:paraId="33717E6C">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Предметные результаты освоения Программы: </w:t>
      </w:r>
    </w:p>
    <w:p w14:paraId="50D2274F">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4E77C41F">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4471600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800F7C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41A2A15E">
      <w:pPr>
        <w:spacing w:after="0" w:line="360" w:lineRule="auto"/>
        <w:ind w:firstLine="708"/>
        <w:jc w:val="both"/>
        <w:rPr>
          <w:rFonts w:ascii="Times New Roman" w:hAnsi="Times New Roman" w:cs="Times New Roman"/>
          <w:sz w:val="24"/>
          <w:szCs w:val="24"/>
          <w:lang w:eastAsia="ru-RU"/>
        </w:rPr>
      </w:pPr>
    </w:p>
    <w:p w14:paraId="37B5AB26"/>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D7BA0"/>
    <w:rsid w:val="45ED7BA0"/>
    <w:rsid w:val="47783438"/>
    <w:rsid w:val="5B84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Calibri" w:hAnsi="Calibri" w:eastAsia="Calibri" w:cs="Calibr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2024-09-11T09:32:00Z</dcterms:created>
  <dc:creator>komdu</dc:creator>
  <cp:lastModifiedBy>komdu</cp:lastModifiedBy>
  <dcterms:modified xsi:type="dcterms:W3CDTF">2024-09-18T07:37:46Z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E91055CB88254A1BB835BFC8CE899A09_11</vt:lpwstr>
  </property>
</Properties>
</file>